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20607" w:rsidRDefault="00420607" w:rsidP="004E5E21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2FD5" w:rsidRPr="00092FD5" w:rsidRDefault="00092FD5" w:rsidP="004E5E21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2FD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DB69D5"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Pr="00092FD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92FD5" w:rsidRPr="00092FD5" w:rsidRDefault="00092FD5" w:rsidP="00B51D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2FD5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092FD5" w:rsidRDefault="00092FD5" w:rsidP="00B51D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2FD5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B51D2E" w:rsidRPr="00092FD5" w:rsidRDefault="00B51D2E" w:rsidP="00B51D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2FD5" w:rsidRDefault="00092FD5" w:rsidP="00B5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FD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51D2E" w:rsidRPr="00092FD5" w:rsidRDefault="00B51D2E" w:rsidP="00B5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FD5" w:rsidRPr="00092FD5" w:rsidRDefault="00092FD5" w:rsidP="00092FD5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092FD5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от </w:t>
      </w:r>
      <w:r w:rsidR="007058E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1</w:t>
      </w:r>
      <w:r w:rsidR="0042060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3</w:t>
      </w:r>
      <w:r w:rsidR="007058E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.11.</w:t>
      </w:r>
      <w:r w:rsidRPr="00092FD5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202</w:t>
      </w:r>
      <w:r w:rsidR="0042060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3</w:t>
      </w:r>
      <w:r w:rsidRPr="00092FD5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г. </w:t>
      </w:r>
      <w:r w:rsidR="007058E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  <w:r w:rsidRPr="00092FD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№</w:t>
      </w:r>
      <w:r w:rsidRPr="00092FD5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 </w:t>
      </w:r>
      <w:r w:rsidR="0042060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37</w:t>
      </w:r>
      <w:r w:rsidRPr="00092FD5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  <w:r w:rsidRPr="00092FD5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092FD5" w:rsidRPr="00092FD5" w:rsidRDefault="00092FD5" w:rsidP="00092FD5">
      <w:pPr>
        <w:pStyle w:val="Title"/>
        <w:ind w:right="4138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092FD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B69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Песковского</w:t>
      </w:r>
      <w:proofErr w:type="spellEnd"/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на 202</w:t>
      </w:r>
      <w:r w:rsidR="0042060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год</w:t>
      </w:r>
    </w:p>
    <w:p w:rsidR="00092FD5" w:rsidRPr="00092FD5" w:rsidRDefault="00092FD5" w:rsidP="00092FD5">
      <w:pPr>
        <w:pStyle w:val="Title"/>
        <w:spacing w:before="0" w:after="0"/>
        <w:ind w:right="5102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092FD5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постановлением Правительства </w:t>
      </w:r>
      <w:r w:rsidRPr="00092F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Российской Федерации от 25.06.2021 № </w:t>
      </w:r>
      <w:r w:rsidRPr="00092FD5">
        <w:rPr>
          <w:rStyle w:val="a7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 «</w:t>
      </w:r>
      <w:r w:rsidRPr="00092FD5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2FD5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DB69D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092FD5" w:rsidRDefault="00092FD5" w:rsidP="00092FD5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92FD5" w:rsidRPr="00092FD5" w:rsidRDefault="00092FD5" w:rsidP="00092FD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92FD5" w:rsidRPr="00092FD5" w:rsidRDefault="00092FD5" w:rsidP="00092F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B69D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</w:t>
      </w:r>
      <w:r w:rsidR="00420607">
        <w:rPr>
          <w:rFonts w:ascii="Times New Roman" w:hAnsi="Times New Roman" w:cs="Times New Roman"/>
          <w:sz w:val="26"/>
          <w:szCs w:val="26"/>
        </w:rPr>
        <w:t>области  на 2024</w:t>
      </w:r>
      <w:r w:rsidRPr="00092FD5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</w:t>
      </w:r>
      <w:proofErr w:type="gramStart"/>
      <w:r w:rsidRPr="00092FD5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092FD5">
        <w:rPr>
          <w:rFonts w:ascii="Times New Roman" w:hAnsi="Times New Roman" w:cs="Times New Roman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DB69D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FD5">
        <w:rPr>
          <w:rFonts w:ascii="Times New Roman" w:hAnsi="Times New Roman" w:cs="Times New Roman"/>
          <w:bCs/>
          <w:sz w:val="26"/>
          <w:szCs w:val="26"/>
        </w:rPr>
        <w:t>3. Настоящее постановление</w:t>
      </w:r>
      <w:r w:rsidR="00420607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января 2024</w:t>
      </w:r>
      <w:r w:rsidRPr="00092FD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092FD5" w:rsidRPr="00092FD5" w:rsidRDefault="00092FD5" w:rsidP="00092FD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2FD5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092FD5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092FD5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092FD5" w:rsidRPr="00092FD5" w:rsidRDefault="00092FD5" w:rsidP="00092FD5">
      <w:pPr>
        <w:pStyle w:val="ConsPlusNormal"/>
        <w:ind w:firstLine="709"/>
        <w:jc w:val="both"/>
      </w:pPr>
    </w:p>
    <w:p w:rsidR="00092FD5" w:rsidRPr="00092FD5" w:rsidRDefault="00092FD5" w:rsidP="00092FD5">
      <w:pPr>
        <w:pStyle w:val="a5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DB69D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92F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92FD5" w:rsidRPr="00092FD5" w:rsidRDefault="00092FD5" w:rsidP="00092FD5">
      <w:pPr>
        <w:pStyle w:val="a5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92FD5">
        <w:rPr>
          <w:rFonts w:ascii="Times New Roman" w:hAnsi="Times New Roman" w:cs="Times New Roman"/>
          <w:sz w:val="26"/>
          <w:szCs w:val="26"/>
        </w:rPr>
        <w:tab/>
      </w:r>
    </w:p>
    <w:p w:rsidR="00092FD5" w:rsidRPr="00092FD5" w:rsidRDefault="00092FD5" w:rsidP="00092FD5">
      <w:pPr>
        <w:pStyle w:val="a5"/>
        <w:rPr>
          <w:rFonts w:ascii="Times New Roman" w:hAnsi="Times New Roman" w:cs="Times New Roman"/>
          <w:sz w:val="26"/>
          <w:szCs w:val="26"/>
        </w:rPr>
      </w:pPr>
      <w:r w:rsidRPr="00092FD5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</w:t>
      </w:r>
      <w:r w:rsidR="00DB69D5">
        <w:rPr>
          <w:rFonts w:ascii="Times New Roman" w:hAnsi="Times New Roman" w:cs="Times New Roman"/>
          <w:sz w:val="26"/>
          <w:szCs w:val="26"/>
        </w:rPr>
        <w:t>И.В.Кулешов</w:t>
      </w:r>
    </w:p>
    <w:p w:rsidR="00092FD5" w:rsidRPr="00092FD5" w:rsidRDefault="00092FD5" w:rsidP="00092FD5">
      <w:pPr>
        <w:pStyle w:val="a5"/>
        <w:rPr>
          <w:rFonts w:ascii="Times New Roman" w:hAnsi="Times New Roman" w:cs="Times New Roman"/>
        </w:rPr>
      </w:pPr>
      <w:r w:rsidRPr="00092FD5">
        <w:rPr>
          <w:rFonts w:ascii="Times New Roman" w:hAnsi="Times New Roman" w:cs="Times New Roman"/>
          <w:sz w:val="26"/>
          <w:szCs w:val="26"/>
        </w:rPr>
        <w:br w:type="page"/>
      </w:r>
    </w:p>
    <w:p w:rsidR="00092FD5" w:rsidRPr="00092FD5" w:rsidRDefault="00092FD5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092F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2FD5" w:rsidRPr="00092FD5" w:rsidRDefault="00092FD5" w:rsidP="00092FD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092FD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DB69D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092F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2FD5" w:rsidRPr="007058E7" w:rsidRDefault="00092FD5" w:rsidP="007058E7">
      <w:pPr>
        <w:ind w:left="5103"/>
        <w:rPr>
          <w:rFonts w:ascii="Times New Roman" w:eastAsia="Calibri" w:hAnsi="Times New Roman" w:cs="Times New Roman"/>
          <w:b/>
        </w:rPr>
      </w:pPr>
      <w:r w:rsidRPr="00092FD5">
        <w:rPr>
          <w:rFonts w:ascii="Times New Roman" w:hAnsi="Times New Roman" w:cs="Times New Roman"/>
        </w:rPr>
        <w:t xml:space="preserve">от </w:t>
      </w:r>
      <w:r w:rsidR="007058E7">
        <w:rPr>
          <w:rFonts w:ascii="Times New Roman" w:hAnsi="Times New Roman" w:cs="Times New Roman"/>
        </w:rPr>
        <w:t>1</w:t>
      </w:r>
      <w:r w:rsidR="00420607">
        <w:rPr>
          <w:rFonts w:ascii="Times New Roman" w:hAnsi="Times New Roman" w:cs="Times New Roman"/>
        </w:rPr>
        <w:t>3</w:t>
      </w:r>
      <w:r w:rsidR="007058E7">
        <w:rPr>
          <w:rFonts w:ascii="Times New Roman" w:hAnsi="Times New Roman" w:cs="Times New Roman"/>
        </w:rPr>
        <w:t>.11.202</w:t>
      </w:r>
      <w:r w:rsidR="00420607">
        <w:rPr>
          <w:rFonts w:ascii="Times New Roman" w:hAnsi="Times New Roman" w:cs="Times New Roman"/>
        </w:rPr>
        <w:t>3</w:t>
      </w:r>
      <w:r w:rsidR="007058E7">
        <w:rPr>
          <w:rFonts w:ascii="Times New Roman" w:hAnsi="Times New Roman" w:cs="Times New Roman"/>
        </w:rPr>
        <w:t xml:space="preserve"> г.</w:t>
      </w:r>
      <w:r w:rsidRPr="00092FD5">
        <w:rPr>
          <w:rFonts w:ascii="Times New Roman" w:hAnsi="Times New Roman" w:cs="Times New Roman"/>
        </w:rPr>
        <w:t xml:space="preserve">  № </w:t>
      </w:r>
      <w:r w:rsidR="00420607">
        <w:rPr>
          <w:rFonts w:ascii="Times New Roman" w:hAnsi="Times New Roman" w:cs="Times New Roman"/>
        </w:rPr>
        <w:t>37</w:t>
      </w:r>
      <w:r w:rsidRPr="00092FD5">
        <w:rPr>
          <w:rFonts w:ascii="Times New Roman" w:hAnsi="Times New Roman" w:cs="Times New Roman"/>
        </w:rPr>
        <w:t xml:space="preserve">  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B69D5" w:rsidRPr="00420607">
        <w:rPr>
          <w:rFonts w:ascii="Times New Roman" w:eastAsia="Calibri" w:hAnsi="Times New Roman" w:cs="Times New Roman"/>
          <w:b/>
          <w:sz w:val="24"/>
          <w:szCs w:val="24"/>
        </w:rPr>
        <w:t>Песковского</w:t>
      </w:r>
      <w:proofErr w:type="spellEnd"/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092FD5" w:rsidRPr="00420607" w:rsidRDefault="00092FD5" w:rsidP="0042060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42060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060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92FD5" w:rsidRDefault="00092FD5" w:rsidP="0042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20607" w:rsidRPr="00420607" w:rsidRDefault="00420607" w:rsidP="0042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B69D5" w:rsidRPr="00420607">
        <w:rPr>
          <w:rFonts w:ascii="Times New Roman" w:eastAsia="Calibri" w:hAnsi="Times New Roman" w:cs="Times New Roman"/>
          <w:sz w:val="24"/>
          <w:szCs w:val="24"/>
        </w:rPr>
        <w:t>Песковского</w:t>
      </w:r>
      <w:proofErr w:type="spell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</w:t>
      </w:r>
      <w:r w:rsidR="00420607">
        <w:rPr>
          <w:rFonts w:ascii="Times New Roman" w:eastAsia="Calibri" w:hAnsi="Times New Roman" w:cs="Times New Roman"/>
          <w:sz w:val="24"/>
          <w:szCs w:val="24"/>
        </w:rPr>
        <w:t>4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год (далее – Программа профилактики), определяет порядок проведения администрацией </w:t>
      </w:r>
      <w:proofErr w:type="spellStart"/>
      <w:r w:rsidR="00DB69D5" w:rsidRPr="00420607">
        <w:rPr>
          <w:rFonts w:ascii="Times New Roman" w:eastAsia="Calibri" w:hAnsi="Times New Roman" w:cs="Times New Roman"/>
          <w:sz w:val="24"/>
          <w:szCs w:val="24"/>
        </w:rPr>
        <w:t>Песковского</w:t>
      </w:r>
      <w:proofErr w:type="spell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</w:t>
      </w:r>
      <w:proofErr w:type="gram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контроля в сфере благоустройства.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>Контрольным органом, уполномоченным на осуществление муниципального контроля в сфере благоустройства является</w:t>
      </w:r>
      <w:proofErr w:type="gram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="00DB69D5" w:rsidRPr="00420607">
        <w:rPr>
          <w:rFonts w:ascii="Times New Roman" w:eastAsia="Calibri" w:hAnsi="Times New Roman" w:cs="Times New Roman"/>
          <w:sz w:val="24"/>
          <w:szCs w:val="24"/>
        </w:rPr>
        <w:t>Песковского</w:t>
      </w:r>
      <w:proofErr w:type="spell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– контрольный орган). 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Предметом муниципального контроля в сфере благоустройства является: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- соблюдение гражданами и организациями обязательных требований, установленных Правилами благоустройства территории </w:t>
      </w:r>
      <w:proofErr w:type="spellStart"/>
      <w:r w:rsidR="00DB69D5" w:rsidRPr="00420607">
        <w:rPr>
          <w:rFonts w:ascii="Times New Roman" w:eastAsia="Calibri" w:hAnsi="Times New Roman" w:cs="Times New Roman"/>
          <w:sz w:val="24"/>
          <w:szCs w:val="24"/>
        </w:rPr>
        <w:t>Песковского</w:t>
      </w:r>
      <w:proofErr w:type="spell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области, утвержденными решением Совета народных депутатов </w:t>
      </w:r>
      <w:proofErr w:type="spellStart"/>
      <w:r w:rsidR="00DB69D5" w:rsidRPr="00420607">
        <w:rPr>
          <w:rFonts w:ascii="Times New Roman" w:eastAsia="Calibri" w:hAnsi="Times New Roman" w:cs="Times New Roman"/>
          <w:sz w:val="24"/>
          <w:szCs w:val="24"/>
        </w:rPr>
        <w:t>Песковского</w:t>
      </w:r>
      <w:proofErr w:type="spellEnd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29.11.2018 № 230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требования);</w:t>
      </w:r>
      <w:proofErr w:type="gramEnd"/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20607">
        <w:rPr>
          <w:rStyle w:val="bumpedfont15"/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92FD5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420607" w:rsidRPr="00420607" w:rsidRDefault="00420607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1.1. Объекты муниципального контроля в сфере благоустройства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092FD5" w:rsidRPr="00420607" w:rsidRDefault="00092FD5" w:rsidP="00420607">
      <w:pPr>
        <w:pStyle w:val="s26"/>
        <w:spacing w:before="0" w:beforeAutospacing="0" w:after="0" w:afterAutospacing="0"/>
        <w:ind w:firstLine="708"/>
        <w:jc w:val="both"/>
      </w:pPr>
      <w:r w:rsidRPr="00420607">
        <w:t xml:space="preserve">1) деятельность, действия (бездействие) граждан и организаций, в </w:t>
      </w:r>
      <w:proofErr w:type="gramStart"/>
      <w:r w:rsidRPr="00420607">
        <w:t>рамках</w:t>
      </w:r>
      <w:proofErr w:type="gramEnd"/>
      <w:r w:rsidRPr="00420607">
        <w:t xml:space="preserve">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92FD5" w:rsidRPr="00420607" w:rsidRDefault="00092FD5" w:rsidP="00420607">
      <w:pPr>
        <w:pStyle w:val="s26"/>
        <w:spacing w:before="0" w:beforeAutospacing="0" w:after="0" w:afterAutospacing="0"/>
        <w:ind w:firstLine="708"/>
        <w:jc w:val="both"/>
      </w:pPr>
      <w:r w:rsidRPr="00420607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607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</w:t>
      </w:r>
      <w:r w:rsidRPr="00420607">
        <w:rPr>
          <w:rFonts w:ascii="Times New Roman" w:hAnsi="Times New Roman" w:cs="Times New Roman"/>
          <w:sz w:val="24"/>
          <w:szCs w:val="24"/>
        </w:rPr>
        <w:lastRenderedPageBreak/>
        <w:t>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420607">
        <w:rPr>
          <w:rFonts w:ascii="Times New Roman" w:hAnsi="Times New Roman" w:cs="Times New Roman"/>
          <w:sz w:val="24"/>
          <w:szCs w:val="24"/>
        </w:rPr>
        <w:t xml:space="preserve"> объекты)</w:t>
      </w:r>
      <w:r w:rsidRPr="004206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FD5" w:rsidRPr="00420607" w:rsidRDefault="00092FD5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420607">
        <w:rPr>
          <w:rFonts w:ascii="Times New Roman" w:hAnsi="Times New Roman" w:cs="Times New Roman"/>
          <w:b/>
          <w:spacing w:val="1"/>
          <w:sz w:val="24"/>
          <w:szCs w:val="24"/>
        </w:rPr>
        <w:t>1.2. Характеристика проблем, на решение которых направлена Программа профилактики</w:t>
      </w:r>
    </w:p>
    <w:p w:rsidR="00092FD5" w:rsidRDefault="00092FD5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420607">
        <w:rPr>
          <w:rFonts w:ascii="Times New Roman" w:hAnsi="Times New Roman" w:cs="Times New Roman"/>
          <w:spacing w:val="1"/>
          <w:sz w:val="24"/>
          <w:szCs w:val="24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="00DB69D5" w:rsidRPr="00420607">
        <w:rPr>
          <w:rFonts w:ascii="Times New Roman" w:hAnsi="Times New Roman" w:cs="Times New Roman"/>
          <w:spacing w:val="1"/>
          <w:sz w:val="24"/>
          <w:szCs w:val="24"/>
        </w:rPr>
        <w:t>Песковского</w:t>
      </w:r>
      <w:proofErr w:type="spellEnd"/>
      <w:r w:rsidRPr="00420607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поселения.</w:t>
      </w:r>
      <w:proofErr w:type="gramEnd"/>
    </w:p>
    <w:p w:rsidR="00420607" w:rsidRPr="00420607" w:rsidRDefault="00420607" w:rsidP="00420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60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20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07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2.1. Целями проведения профилактических мероприятий являются:</w:t>
      </w:r>
    </w:p>
    <w:p w:rsidR="00092FD5" w:rsidRPr="00420607" w:rsidRDefault="00092FD5" w:rsidP="004206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- устранение условий, причин и факторов, способных привести 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нарушениям обязательных требований и (или) причинению вреда (ущерба) охраняемым законом ценностям;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разъяснение контролируемым лицам системы обязательных требований;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повышение прозрачности системы осуществления муниципального контроля в сфере благоустройства;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профилактических мероприятий являются: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создание и внедрение мер системы позитивной профилактики;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- инвентаризация и оценка состава и особенностей контролируемых объектов и оценка состояния 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подконтрольной</w:t>
      </w:r>
      <w:proofErr w:type="gram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сферы;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092FD5" w:rsidRDefault="00092FD5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420607" w:rsidRPr="00420607" w:rsidRDefault="00420607" w:rsidP="00420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FD5" w:rsidRPr="00420607" w:rsidRDefault="00092FD5" w:rsidP="004206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>3. Перечень профилактических мероприятий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3.1. Администрацией проводятся следующие профилактические мероприятия: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информирование;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обобщение правоприменительной практики;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объявление предостережения;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консультирование;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профилактический визит.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 Информирование.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 Обобщение правоприменительной практики.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контроля в сфере благоустройства  (далее – Доклад о правоприменительной практике).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3.3.2. Доклад о правоприменительной практике готовится ежегодно.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Срок подготовки – не позднее 15 февраля года, следующего за отчетным годом.</w:t>
      </w:r>
    </w:p>
    <w:p w:rsidR="00092FD5" w:rsidRPr="00420607" w:rsidRDefault="00092FD5" w:rsidP="00420607">
      <w:pPr>
        <w:pStyle w:val="ConsPlusNormal"/>
        <w:ind w:firstLine="709"/>
        <w:jc w:val="both"/>
        <w:rPr>
          <w:sz w:val="24"/>
          <w:szCs w:val="24"/>
        </w:rPr>
      </w:pPr>
      <w:r w:rsidRPr="00420607">
        <w:rPr>
          <w:sz w:val="24"/>
          <w:szCs w:val="24"/>
        </w:rPr>
        <w:t>3.3.3.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3.3.4. </w:t>
      </w:r>
      <w:proofErr w:type="gramStart"/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В течение всего периода размещения на официальном сайте </w:t>
      </w:r>
      <w:r w:rsidRPr="00420607">
        <w:rPr>
          <w:rFonts w:ascii="Times New Roman" w:hAnsi="Times New Roman" w:cs="Times New Roman"/>
          <w:sz w:val="24"/>
          <w:szCs w:val="24"/>
        </w:rPr>
        <w:t>проекта Доклада о правоприменительной практике у</w:t>
      </w:r>
      <w:r w:rsidRPr="00420607">
        <w:rPr>
          <w:rFonts w:ascii="Times New Roman" w:eastAsia="Calibri" w:hAnsi="Times New Roman" w:cs="Times New Roman"/>
          <w:sz w:val="24"/>
          <w:szCs w:val="24"/>
        </w:rPr>
        <w:t xml:space="preserve">частники общественных обсуждений </w:t>
      </w:r>
      <w:r w:rsidRPr="00420607">
        <w:rPr>
          <w:rFonts w:ascii="Times New Roman" w:hAnsi="Times New Roman" w:cs="Times New Roman"/>
          <w:sz w:val="24"/>
          <w:szCs w:val="24"/>
        </w:rPr>
        <w:t>могут в</w:t>
      </w:r>
      <w:r w:rsidRPr="00420607">
        <w:rPr>
          <w:rFonts w:ascii="Times New Roman" w:eastAsia="Calibri" w:hAnsi="Times New Roman" w:cs="Times New Roman"/>
          <w:sz w:val="24"/>
          <w:szCs w:val="24"/>
        </w:rPr>
        <w:t>носить предложения и замечания посредством их направления в письменной форме в адрес администрации: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3964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, Воронежская область, Павловский район, с. 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Пески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>, ул. С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крынникова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0607">
        <w:rPr>
          <w:rFonts w:ascii="Times New Roman" w:hAnsi="Times New Roman" w:cs="Times New Roman"/>
          <w:sz w:val="24"/>
          <w:szCs w:val="24"/>
        </w:rPr>
        <w:t xml:space="preserve">, тел. (47362) </w:t>
      </w:r>
      <w:r w:rsidR="00DB69D5" w:rsidRPr="00420607">
        <w:rPr>
          <w:rFonts w:ascii="Times New Roman" w:hAnsi="Times New Roman" w:cs="Times New Roman"/>
          <w:sz w:val="24"/>
          <w:szCs w:val="24"/>
        </w:rPr>
        <w:t>52-5-40</w:t>
      </w:r>
      <w:r w:rsidRPr="00420607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5" w:history="1"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peskov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pavl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20607">
        <w:rPr>
          <w:rFonts w:ascii="Times New Roman" w:hAnsi="Times New Roman" w:cs="Times New Roman"/>
          <w:sz w:val="24"/>
          <w:szCs w:val="24"/>
        </w:rPr>
        <w:t>, а также посредством официального сайта.</w:t>
      </w:r>
      <w:proofErr w:type="gramEnd"/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Доклад о правоприменительной практике 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утверждается распоряжением администрации и размещается</w:t>
      </w:r>
      <w:proofErr w:type="gram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в течение 5 рабочих дней со дня утверждения.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3.4. Объявление предостережения.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proofErr w:type="spellStart"/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Песковского</w:t>
      </w:r>
      <w:proofErr w:type="spell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не позднее 30 дней со дня получения указанных сведений.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3.4.2. Объявляемые предостережения регистрируются в 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журнале</w:t>
      </w:r>
      <w:proofErr w:type="gram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учета предостережений с присвоением регистрационного номера.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3.4.4. В случае принятия представленных в возражении контролируемого лица доводов глава </w:t>
      </w:r>
      <w:proofErr w:type="spellStart"/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Песковского</w:t>
      </w:r>
      <w:proofErr w:type="spell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При несогласии с возражением указываются соответствующие обоснования.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 Консультирование.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3.5.2. Консультирование может осуществляться должностным лицом</w:t>
      </w:r>
    </w:p>
    <w:p w:rsidR="00092FD5" w:rsidRPr="00420607" w:rsidRDefault="00092FD5" w:rsidP="00420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по телефону, посредством </w:t>
      </w:r>
      <w:proofErr w:type="spell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420607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контрольного мероприятия. Время консультирования не должно превышать 15 мин.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3.5.3 Личный прием граждан проводится главой </w:t>
      </w:r>
      <w:proofErr w:type="spellStart"/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Песковского</w:t>
      </w:r>
      <w:proofErr w:type="spell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3.5.4. Консультирование в 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устной</w:t>
      </w:r>
      <w:proofErr w:type="gram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и письменной формах осуществляется по следующим вопросам: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организация и осуществление муниципального контроля в сфере благоустройства;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порядок осуществления контрольных мероприятий;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за время, отведенное для консультирования, предоставить ответ на поставленные вопросы невозможно;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- ответ на поставленные вопросы требует дополнительного запроса сведений от органов власти или иных лиц.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Если поставленные во время консультирования вопросы не относятся к муниципальному контролю в сфере благоустройства, даются необходимые разъяснения 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обращению в соответствующие органы власти или к соответствующим должностным лицам.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>3.5.9. В случае</w:t>
      </w:r>
      <w:proofErr w:type="gramStart"/>
      <w:r w:rsidRPr="0042060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 w:rsidR="00092FD5" w:rsidRPr="00420607" w:rsidRDefault="00092FD5" w:rsidP="00420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3.5.10. Консультирование проводится администрацией по вторникам и четвергам с 14.00 до 16.00; телефон: (47362) 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52-5-40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>; местонахождение: 3964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, Воронежская область, Павловский район, с. 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Пески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>, ул. С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крынникова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DB69D5" w:rsidRPr="004206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20607">
        <w:rPr>
          <w:rFonts w:ascii="Times New Roman" w:hAnsi="Times New Roman" w:cs="Times New Roman"/>
          <w:color w:val="000000"/>
          <w:sz w:val="24"/>
          <w:szCs w:val="24"/>
        </w:rPr>
        <w:t xml:space="preserve">5 адрес электронной почты: </w:t>
      </w:r>
      <w:hyperlink r:id="rId6" w:history="1"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peskov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pavl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B69D5" w:rsidRPr="004206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20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FD5" w:rsidRPr="00420607" w:rsidRDefault="00092FD5" w:rsidP="00420607">
      <w:pPr>
        <w:pStyle w:val="s15"/>
        <w:spacing w:before="0" w:beforeAutospacing="0" w:after="0" w:afterAutospacing="0"/>
      </w:pPr>
      <w:r w:rsidRPr="00420607">
        <w:rPr>
          <w:rStyle w:val="bumpedfont15"/>
        </w:rPr>
        <w:t xml:space="preserve">3.6 </w:t>
      </w:r>
      <w:r w:rsidRPr="00420607">
        <w:t>Профилактический визит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20607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206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92FD5" w:rsidRPr="00420607" w:rsidRDefault="00092FD5" w:rsidP="0042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92FD5" w:rsidRDefault="00092FD5" w:rsidP="0042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3.6.4. В случае</w:t>
      </w:r>
      <w:proofErr w:type="gramStart"/>
      <w:r w:rsidRPr="004206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0607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proofErr w:type="spellStart"/>
      <w:r w:rsidR="00DB69D5" w:rsidRPr="00420607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420607">
        <w:rPr>
          <w:rFonts w:ascii="Times New Roman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(надзорных) мероприятий.</w:t>
      </w: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20607" w:rsidRPr="00420607" w:rsidRDefault="00420607" w:rsidP="0042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D5" w:rsidRPr="00420607" w:rsidRDefault="00092FD5" w:rsidP="004206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607">
        <w:rPr>
          <w:rFonts w:ascii="Times New Roman" w:hAnsi="Times New Roman" w:cs="Times New Roman"/>
          <w:b/>
          <w:color w:val="000000"/>
          <w:sz w:val="24"/>
          <w:szCs w:val="24"/>
        </w:rPr>
        <w:t>4. Показатели результативности и эффективности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420607">
        <w:rPr>
          <w:rStyle w:val="a7"/>
          <w:rFonts w:ascii="Times New Roman" w:hAnsi="Times New Roman" w:cs="Times New Roman"/>
          <w:i w:val="0"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92FD5" w:rsidRPr="00420607" w:rsidTr="009121C2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92FD5" w:rsidRPr="00420607" w:rsidTr="009121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420607" w:rsidP="00420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FD5" w:rsidRPr="00420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092FD5" w:rsidP="00420607">
            <w:pPr>
              <w:pStyle w:val="ConsPlusNormal"/>
              <w:jc w:val="both"/>
              <w:rPr>
                <w:sz w:val="24"/>
                <w:szCs w:val="24"/>
              </w:rPr>
            </w:pPr>
            <w:r w:rsidRPr="004206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5" w:rsidRPr="00420607" w:rsidRDefault="00420607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3-х</w:t>
            </w:r>
            <w:r w:rsidR="00092FD5" w:rsidRPr="004206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</w:tbl>
    <w:p w:rsidR="00092FD5" w:rsidRPr="00420607" w:rsidRDefault="00092FD5" w:rsidP="0042060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092FD5" w:rsidRPr="00420607" w:rsidRDefault="00092FD5" w:rsidP="0042060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092FD5" w:rsidRPr="00420607" w:rsidRDefault="00092FD5" w:rsidP="0042060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092FD5" w:rsidRPr="00420607" w:rsidTr="009121C2">
        <w:trPr>
          <w:trHeight w:val="420"/>
        </w:trPr>
        <w:tc>
          <w:tcPr>
            <w:tcW w:w="3119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07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нет отклонения</w:t>
            </w:r>
          </w:p>
        </w:tc>
        <w:tc>
          <w:tcPr>
            <w:tcW w:w="23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отклонение больше 20%</w:t>
            </w:r>
          </w:p>
        </w:tc>
        <w:tc>
          <w:tcPr>
            <w:tcW w:w="18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отклонение больше 50 %</w:t>
            </w:r>
          </w:p>
        </w:tc>
      </w:tr>
      <w:tr w:rsidR="00092FD5" w:rsidRPr="00420607" w:rsidTr="009121C2">
        <w:trPr>
          <w:trHeight w:val="420"/>
        </w:trPr>
        <w:tc>
          <w:tcPr>
            <w:tcW w:w="3119" w:type="dxa"/>
          </w:tcPr>
          <w:p w:rsidR="00092FD5" w:rsidRPr="00420607" w:rsidRDefault="00092FD5" w:rsidP="004206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92FD5" w:rsidRPr="00420607" w:rsidRDefault="00092FD5" w:rsidP="00420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7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FD5" w:rsidRPr="00420607" w:rsidRDefault="00092FD5" w:rsidP="004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rFonts w:ascii="Times New Roman" w:hAnsi="Times New Roman" w:cs="Times New Roman"/>
          <w:sz w:val="24"/>
          <w:szCs w:val="24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42060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0607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92FD5" w:rsidRDefault="00092FD5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8E7" w:rsidRDefault="007058E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607" w:rsidRPr="00092FD5" w:rsidRDefault="00420607" w:rsidP="00092F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D5" w:rsidRPr="00092FD5" w:rsidRDefault="00DB69D5" w:rsidP="00DB69D5">
      <w:pPr>
        <w:spacing w:after="0" w:line="240" w:lineRule="auto"/>
        <w:rPr>
          <w:rFonts w:ascii="Times New Roman" w:hAnsi="Times New Roman" w:cs="Times New Roman"/>
          <w:bCs/>
        </w:rPr>
      </w:pPr>
      <w:r w:rsidRPr="00DB69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092FD5" w:rsidRPr="00092FD5">
        <w:rPr>
          <w:rFonts w:ascii="Times New Roman" w:hAnsi="Times New Roman" w:cs="Times New Roman"/>
          <w:bCs/>
        </w:rPr>
        <w:t>Приложение к Программе</w:t>
      </w:r>
    </w:p>
    <w:p w:rsidR="00092FD5" w:rsidRPr="00DB69D5" w:rsidRDefault="00092FD5" w:rsidP="00DB69D5">
      <w:pPr>
        <w:spacing w:after="0" w:line="240" w:lineRule="auto"/>
        <w:ind w:left="4962"/>
        <w:rPr>
          <w:rFonts w:ascii="Times New Roman" w:eastAsia="Calibri" w:hAnsi="Times New Roman" w:cs="Times New Roman"/>
          <w:i/>
        </w:rPr>
      </w:pPr>
      <w:r w:rsidRPr="00092FD5">
        <w:rPr>
          <w:rFonts w:ascii="Times New Roman" w:eastAsia="Calibri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B69D5">
        <w:rPr>
          <w:rFonts w:ascii="Times New Roman" w:eastAsia="Calibri" w:hAnsi="Times New Roman" w:cs="Times New Roman"/>
        </w:rPr>
        <w:t>Песковского</w:t>
      </w:r>
      <w:proofErr w:type="spellEnd"/>
      <w:r w:rsidRPr="00092FD5">
        <w:rPr>
          <w:rFonts w:ascii="Times New Roman" w:eastAsia="Calibri" w:hAnsi="Times New Roman" w:cs="Times New Roman"/>
        </w:rPr>
        <w:t xml:space="preserve"> сельского поселения Павловского муниципального района Воронежской области на 202</w:t>
      </w:r>
      <w:r w:rsidR="00420607">
        <w:rPr>
          <w:rFonts w:ascii="Times New Roman" w:eastAsia="Calibri" w:hAnsi="Times New Roman" w:cs="Times New Roman"/>
        </w:rPr>
        <w:t>4</w:t>
      </w:r>
      <w:r w:rsidRPr="00092FD5">
        <w:rPr>
          <w:rFonts w:ascii="Times New Roman" w:eastAsia="Calibri" w:hAnsi="Times New Roman" w:cs="Times New Roman"/>
        </w:rPr>
        <w:t xml:space="preserve"> год</w:t>
      </w:r>
    </w:p>
    <w:p w:rsidR="00DB69D5" w:rsidRPr="00DB69D5" w:rsidRDefault="00DB69D5" w:rsidP="00DB69D5">
      <w:pPr>
        <w:spacing w:after="0" w:line="240" w:lineRule="auto"/>
        <w:ind w:left="4962"/>
        <w:rPr>
          <w:rFonts w:ascii="Times New Roman" w:eastAsia="Calibri" w:hAnsi="Times New Roman" w:cs="Times New Roman"/>
          <w:i/>
        </w:rPr>
      </w:pPr>
    </w:p>
    <w:p w:rsidR="00092FD5" w:rsidRPr="00EA75A1" w:rsidRDefault="00092FD5" w:rsidP="00EA75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2FD5">
        <w:rPr>
          <w:rFonts w:ascii="Times New Roman" w:hAnsi="Times New Roman" w:cs="Times New Roman"/>
          <w:b/>
          <w:bCs/>
          <w:sz w:val="26"/>
          <w:szCs w:val="26"/>
        </w:rPr>
        <w:t>План мероприятий профилактики рисков причинения вреда (ущерба) охра</w:t>
      </w:r>
      <w:r w:rsidR="00420607">
        <w:rPr>
          <w:rFonts w:ascii="Times New Roman" w:hAnsi="Times New Roman" w:cs="Times New Roman"/>
          <w:b/>
          <w:bCs/>
          <w:sz w:val="26"/>
          <w:szCs w:val="26"/>
        </w:rPr>
        <w:t>няемым законом ценностям на 2024</w:t>
      </w:r>
      <w:r w:rsidRPr="00092FD5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30"/>
        <w:gridCol w:w="1984"/>
        <w:gridCol w:w="2268"/>
      </w:tblGrid>
      <w:tr w:rsidR="00092FD5" w:rsidRPr="00092FD5" w:rsidTr="009121C2">
        <w:trPr>
          <w:tblHeader/>
        </w:trPr>
        <w:tc>
          <w:tcPr>
            <w:tcW w:w="640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92F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2F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92FD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30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092FD5" w:rsidRPr="00092FD5" w:rsidRDefault="00092FD5" w:rsidP="009121C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FD5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420607" w:rsidRDefault="00420607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420607" w:rsidRPr="00EA75A1" w:rsidRDefault="00420607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420607" w:rsidRDefault="00420607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420607" w:rsidRPr="00092FD5" w:rsidRDefault="00420607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420607" w:rsidRDefault="00420607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420607" w:rsidRPr="00092FD5" w:rsidRDefault="00420607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20607">
              <w:rPr>
                <w:rFonts w:ascii="Times New Roman" w:eastAsia="Calibri" w:hAnsi="Times New Roman" w:cs="Times New Roman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42060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420607">
              <w:rPr>
                <w:rFonts w:ascii="Times New Roman" w:eastAsia="Calibri" w:hAnsi="Times New Roman" w:cs="Times New Roman"/>
              </w:rPr>
              <w:t xml:space="preserve">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1 раз в квартал при наличии внесения изменений в нормативные правовые акты</w:t>
            </w:r>
          </w:p>
          <w:p w:rsidR="00420607" w:rsidRPr="00420607" w:rsidRDefault="00420607" w:rsidP="005C76E5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20607" w:rsidRDefault="00420607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420607" w:rsidRPr="00092FD5" w:rsidRDefault="00420607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0607" w:rsidRPr="00092FD5" w:rsidTr="009121C2">
        <w:trPr>
          <w:trHeight w:val="996"/>
        </w:trPr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Информирование о содержании новых обязательных требований</w:t>
            </w:r>
          </w:p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420607" w:rsidRDefault="00420607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420607" w:rsidRPr="00092FD5" w:rsidRDefault="00420607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 xml:space="preserve">Оказание консультаций в </w:t>
            </w:r>
            <w:proofErr w:type="gramStart"/>
            <w:r w:rsidRPr="00420607">
              <w:rPr>
                <w:rFonts w:ascii="Times New Roman" w:eastAsia="Calibri" w:hAnsi="Times New Roman" w:cs="Times New Roman"/>
              </w:rPr>
              <w:t>отношении</w:t>
            </w:r>
            <w:proofErr w:type="gramEnd"/>
            <w:r w:rsidRPr="00420607">
              <w:rPr>
                <w:rFonts w:ascii="Times New Roman" w:eastAsia="Calibri" w:hAnsi="Times New Roman" w:cs="Times New Roman"/>
              </w:rPr>
              <w:t xml:space="preserve"> мер, которые должны приниматься </w:t>
            </w:r>
            <w:r w:rsidRPr="00420607">
              <w:rPr>
                <w:rFonts w:ascii="Times New Roman" w:eastAsia="Calibri" w:hAnsi="Times New Roman" w:cs="Times New Roman"/>
              </w:rPr>
              <w:lastRenderedPageBreak/>
              <w:t>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Песковского</w:t>
            </w:r>
            <w:proofErr w:type="spellEnd"/>
            <w:r w:rsidRPr="00092FD5">
              <w:rPr>
                <w:rFonts w:ascii="Times New Roman" w:hAnsi="Times New Roman" w:cs="Times New Roman"/>
              </w:rPr>
              <w:t xml:space="preserve"> </w:t>
            </w:r>
            <w:r w:rsidRPr="00092FD5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 И.В.</w:t>
            </w:r>
          </w:p>
        </w:tc>
      </w:tr>
      <w:tr w:rsidR="00420607" w:rsidRPr="00092FD5" w:rsidTr="009121C2">
        <w:tc>
          <w:tcPr>
            <w:tcW w:w="640" w:type="dxa"/>
          </w:tcPr>
          <w:p w:rsidR="00420607" w:rsidRPr="00092FD5" w:rsidRDefault="00420607" w:rsidP="009121C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92FD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30" w:type="dxa"/>
          </w:tcPr>
          <w:p w:rsidR="00420607" w:rsidRPr="00420607" w:rsidRDefault="00420607" w:rsidP="005C76E5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420607" w:rsidRPr="00420607" w:rsidRDefault="00420607" w:rsidP="005C76E5">
            <w:pPr>
              <w:spacing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607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  <w:tc>
          <w:tcPr>
            <w:tcW w:w="2268" w:type="dxa"/>
          </w:tcPr>
          <w:p w:rsidR="00420607" w:rsidRDefault="00420607" w:rsidP="00EA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:rsidR="00420607" w:rsidRPr="00092FD5" w:rsidRDefault="00420607" w:rsidP="00EA75A1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</w:tbl>
    <w:p w:rsidR="00092FD5" w:rsidRPr="00092FD5" w:rsidRDefault="00092FD5" w:rsidP="00092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FD5" w:rsidRPr="00092FD5" w:rsidRDefault="00092FD5">
      <w:pPr>
        <w:rPr>
          <w:rFonts w:ascii="Times New Roman" w:hAnsi="Times New Roman" w:cs="Times New Roman"/>
        </w:rPr>
      </w:pPr>
    </w:p>
    <w:sectPr w:rsidR="00092FD5" w:rsidRPr="00092FD5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2FD5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0FE5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ACF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607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5E21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8E7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2D51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AE5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985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1E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81B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AF4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D2E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4DE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9D5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5A1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092F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9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92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092FD5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92FD5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092F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5">
    <w:name w:val="s15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092FD5"/>
  </w:style>
  <w:style w:type="paragraph" w:customStyle="1" w:styleId="s26">
    <w:name w:val="s26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skov.pavl@govvrn.ru" TargetMode="External"/><Relationship Id="rId5" Type="http://schemas.openxmlformats.org/officeDocument/2006/relationships/hyperlink" Target="mailto:peskov.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227D-C9B9-4B04-A3E3-E672E9A2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13</cp:revision>
  <cp:lastPrinted>2023-11-14T10:58:00Z</cp:lastPrinted>
  <dcterms:created xsi:type="dcterms:W3CDTF">2022-09-30T08:01:00Z</dcterms:created>
  <dcterms:modified xsi:type="dcterms:W3CDTF">2023-11-14T11:02:00Z</dcterms:modified>
</cp:coreProperties>
</file>